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99BF" w14:textId="6294D5A0" w:rsidR="00361252" w:rsidRPr="009E4C04" w:rsidRDefault="003B763A" w:rsidP="001B3284">
      <w:pPr>
        <w:snapToGrid w:val="0"/>
        <w:spacing w:beforeLines="50" w:before="180" w:after="0" w:line="300" w:lineRule="auto"/>
        <w:rPr>
          <w:rFonts w:ascii="Times New Roman" w:eastAsia="新細明體" w:hAnsi="Times New Roman" w:cs="Times New Roman"/>
          <w:b/>
        </w:rPr>
      </w:pPr>
      <w:r w:rsidRPr="009E4C04">
        <w:rPr>
          <w:rFonts w:ascii="Times New Roman" w:eastAsia="新細明體" w:hAnsi="Times New Roman" w:cs="Times New Roman" w:hint="eastAsia"/>
          <w:b/>
        </w:rPr>
        <w:t>113</w:t>
      </w:r>
      <w:r w:rsidRPr="009E4C04">
        <w:rPr>
          <w:rFonts w:ascii="Times New Roman" w:eastAsia="新細明體" w:hAnsi="Times New Roman" w:cs="Times New Roman" w:hint="eastAsia"/>
          <w:b/>
        </w:rPr>
        <w:t>學年</w:t>
      </w:r>
      <w:r w:rsidR="00044076" w:rsidRPr="009E4C04">
        <w:rPr>
          <w:rFonts w:ascii="Times New Roman" w:eastAsia="新細明體" w:hAnsi="Times New Roman" w:cs="Times New Roman" w:hint="eastAsia"/>
          <w:b/>
        </w:rPr>
        <w:t>_</w:t>
      </w:r>
      <w:r w:rsidR="00361252" w:rsidRPr="009E4C04">
        <w:rPr>
          <w:rFonts w:ascii="Times New Roman" w:eastAsia="新細明體" w:hAnsi="Times New Roman" w:cs="Times New Roman"/>
          <w:b/>
        </w:rPr>
        <w:t>生物安全教育訓練</w:t>
      </w:r>
      <w:r w:rsidR="006F2F6A">
        <w:rPr>
          <w:rFonts w:ascii="Times New Roman" w:eastAsia="新細明體" w:hAnsi="Times New Roman" w:cs="Times New Roman" w:hint="eastAsia"/>
          <w:b/>
        </w:rPr>
        <w:t xml:space="preserve"> </w:t>
      </w:r>
    </w:p>
    <w:p w14:paraId="09369DEE" w14:textId="01FEA255" w:rsidR="00540DC0" w:rsidRPr="001B3284" w:rsidRDefault="00361252" w:rsidP="003B11C2">
      <w:pPr>
        <w:snapToGrid w:val="0"/>
        <w:spacing w:beforeLines="50" w:before="180" w:after="0" w:line="360" w:lineRule="auto"/>
        <w:jc w:val="both"/>
        <w:rPr>
          <w:rFonts w:ascii="Times New Roman" w:eastAsia="新細明體" w:hAnsi="Times New Roman" w:cs="Times New Roman"/>
          <w:bCs/>
        </w:rPr>
      </w:pPr>
      <w:r w:rsidRPr="00361252">
        <w:rPr>
          <w:rFonts w:ascii="Times New Roman" w:eastAsia="新細明體" w:hAnsi="Times New Roman" w:cs="Times New Roman"/>
          <w:bCs/>
        </w:rPr>
        <w:t>依據「</w:t>
      </w:r>
      <w:r w:rsidRPr="001B3284">
        <w:rPr>
          <w:rFonts w:ascii="Times New Roman" w:eastAsia="新細明體" w:hAnsi="Times New Roman" w:cs="Times New Roman"/>
          <w:bCs/>
        </w:rPr>
        <w:t>感染性生物材料管理辦法</w:t>
      </w:r>
      <w:r w:rsidRPr="00361252">
        <w:rPr>
          <w:rFonts w:ascii="Times New Roman" w:eastAsia="新細明體" w:hAnsi="Times New Roman" w:cs="Times New Roman"/>
          <w:bCs/>
        </w:rPr>
        <w:t>」第</w:t>
      </w:r>
      <w:r w:rsidRPr="001B3284">
        <w:rPr>
          <w:rFonts w:ascii="Times New Roman" w:eastAsia="新細明體" w:hAnsi="Times New Roman" w:cs="Times New Roman"/>
          <w:bCs/>
        </w:rPr>
        <w:t>21</w:t>
      </w:r>
      <w:r w:rsidRPr="00361252">
        <w:rPr>
          <w:rFonts w:ascii="Times New Roman" w:eastAsia="新細明體" w:hAnsi="Times New Roman" w:cs="Times New Roman"/>
          <w:bCs/>
        </w:rPr>
        <w:t>條規定：</w:t>
      </w:r>
      <w:r w:rsidRPr="001B3284">
        <w:rPr>
          <w:rFonts w:ascii="Times New Roman" w:eastAsia="新細明體" w:hAnsi="Times New Roman" w:cs="Times New Roman" w:hint="eastAsia"/>
          <w:bCs/>
        </w:rPr>
        <w:t>實驗室及保存場所之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新進人員</w:t>
      </w:r>
      <w:r w:rsidRPr="001B3284">
        <w:rPr>
          <w:rFonts w:ascii="Times New Roman" w:eastAsia="新細明體" w:hAnsi="Times New Roman" w:cs="Times New Roman" w:hint="eastAsia"/>
          <w:bCs/>
        </w:rPr>
        <w:t>，應受至少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八小時</w:t>
      </w:r>
      <w:r w:rsidRPr="001B3284">
        <w:rPr>
          <w:rFonts w:ascii="Times New Roman" w:eastAsia="新細明體" w:hAnsi="Times New Roman" w:cs="Times New Roman" w:hint="eastAsia"/>
          <w:bCs/>
        </w:rPr>
        <w:t>生物安全及生物保全基本課程</w:t>
      </w:r>
      <w:r w:rsidRPr="00361252">
        <w:rPr>
          <w:rFonts w:ascii="Times New Roman" w:eastAsia="新細明體" w:hAnsi="Times New Roman" w:cs="Times New Roman"/>
          <w:bCs/>
        </w:rPr>
        <w:t>；</w:t>
      </w:r>
      <w:r w:rsidRPr="001B3284">
        <w:rPr>
          <w:rFonts w:ascii="Times New Roman" w:eastAsia="新細明體" w:hAnsi="Times New Roman" w:cs="Times New Roman" w:hint="eastAsia"/>
          <w:bCs/>
        </w:rPr>
        <w:t>實驗室及保存場所之工作人員，每年應受生物安全及生物保全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繼續教育</w:t>
      </w:r>
      <w:r w:rsidRPr="001B3284">
        <w:rPr>
          <w:rFonts w:ascii="Times New Roman" w:eastAsia="新細明體" w:hAnsi="Times New Roman" w:cs="Times New Roman" w:hint="eastAsia"/>
          <w:bCs/>
        </w:rPr>
        <w:t>至少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四小時</w:t>
      </w:r>
      <w:r w:rsidRPr="001B3284">
        <w:rPr>
          <w:rFonts w:ascii="Times New Roman" w:eastAsia="新細明體" w:hAnsi="Times New Roman" w:cs="Times New Roman" w:hint="eastAsia"/>
          <w:bCs/>
        </w:rPr>
        <w:t>。</w:t>
      </w:r>
    </w:p>
    <w:p w14:paraId="42A0B046" w14:textId="221BEAE7" w:rsidR="00BD2F4C" w:rsidRDefault="00BD2F4C" w:rsidP="00BD2F4C">
      <w:pPr>
        <w:snapToGrid w:val="0"/>
        <w:spacing w:beforeLines="50" w:before="180" w:after="0" w:line="360" w:lineRule="auto"/>
        <w:jc w:val="both"/>
        <w:rPr>
          <w:rFonts w:ascii="Times New Roman" w:eastAsia="新細明體" w:hAnsi="Times New Roman" w:cs="Times New Roman"/>
          <w:bCs/>
        </w:rPr>
      </w:pPr>
      <w:r w:rsidRPr="001B3284">
        <w:rPr>
          <w:rFonts w:ascii="Times New Roman" w:eastAsia="新細明體" w:hAnsi="Times New Roman" w:cs="Times New Roman" w:hint="eastAsia"/>
          <w:bCs/>
        </w:rPr>
        <w:t>請本校實驗室</w:t>
      </w:r>
      <w:r w:rsidRPr="001B3284">
        <w:rPr>
          <w:rFonts w:ascii="Times New Roman" w:eastAsia="新細明體" w:hAnsi="Times New Roman" w:cs="Times New Roman"/>
          <w:bCs/>
        </w:rPr>
        <w:t>工作人</w:t>
      </w:r>
      <w:r w:rsidRPr="001B3284">
        <w:rPr>
          <w:rFonts w:ascii="Times New Roman" w:eastAsia="新細明體" w:hAnsi="Times New Roman" w:cs="Times New Roman" w:hint="eastAsia"/>
          <w:bCs/>
        </w:rPr>
        <w:t>員（含計畫主持人、學生、助理），於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113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年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1</w:t>
      </w:r>
      <w:r w:rsidR="007E2C9F">
        <w:rPr>
          <w:rFonts w:ascii="Times New Roman" w:eastAsia="新細明體" w:hAnsi="Times New Roman" w:cs="Times New Roman" w:hint="eastAsia"/>
          <w:bCs/>
          <w:color w:val="FF0000"/>
        </w:rPr>
        <w:t>1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月</w:t>
      </w:r>
      <w:r w:rsidR="00F447D9">
        <w:rPr>
          <w:rFonts w:ascii="Times New Roman" w:eastAsia="新細明體" w:hAnsi="Times New Roman" w:cs="Times New Roman" w:hint="eastAsia"/>
          <w:bCs/>
          <w:color w:val="FF0000"/>
        </w:rPr>
        <w:t>1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1</w:t>
      </w:r>
      <w:r w:rsidRPr="001B3284">
        <w:rPr>
          <w:rFonts w:ascii="Times New Roman" w:eastAsia="新細明體" w:hAnsi="Times New Roman" w:cs="Times New Roman" w:hint="eastAsia"/>
          <w:bCs/>
          <w:color w:val="FF0000"/>
        </w:rPr>
        <w:t>日前</w:t>
      </w:r>
      <w:r w:rsidRPr="001B3284">
        <w:rPr>
          <w:rFonts w:ascii="Times New Roman" w:eastAsia="新細明體" w:hAnsi="Times New Roman" w:cs="Times New Roman" w:hint="eastAsia"/>
          <w:bCs/>
        </w:rPr>
        <w:t>完成本學年規定之教育訓練時數，並</w:t>
      </w:r>
      <w:r>
        <w:rPr>
          <w:rFonts w:ascii="Times New Roman" w:eastAsia="新細明體" w:hAnsi="Times New Roman" w:cs="Times New Roman" w:hint="eastAsia"/>
          <w:bCs/>
        </w:rPr>
        <w:t>請將</w:t>
      </w:r>
      <w:r w:rsidRPr="00BD2F4C">
        <w:rPr>
          <w:rFonts w:ascii="Times New Roman" w:eastAsia="新細明體" w:hAnsi="Times New Roman" w:cs="Times New Roman" w:hint="eastAsia"/>
          <w:bCs/>
        </w:rPr>
        <w:t>證書檔案</w:t>
      </w:r>
      <w:proofErr w:type="gramStart"/>
      <w:r w:rsidRPr="007075FB">
        <w:rPr>
          <w:rFonts w:ascii="Times New Roman" w:eastAsia="新細明體" w:hAnsi="Times New Roman" w:cs="Times New Roman" w:hint="eastAsia"/>
        </w:rPr>
        <w:t>寄</w:t>
      </w:r>
      <w:r>
        <w:rPr>
          <w:rFonts w:ascii="Times New Roman" w:eastAsia="新細明體" w:hAnsi="Times New Roman" w:cs="Times New Roman" w:hint="eastAsia"/>
          <w:bCs/>
        </w:rPr>
        <w:t>給</w:t>
      </w:r>
      <w:r w:rsidRPr="001B3284">
        <w:rPr>
          <w:rFonts w:ascii="Times New Roman" w:eastAsia="新細明體" w:hAnsi="Times New Roman" w:cs="Times New Roman" w:hint="eastAsia"/>
          <w:bCs/>
        </w:rPr>
        <w:t>生安會</w:t>
      </w:r>
      <w:proofErr w:type="gramEnd"/>
      <w:r w:rsidRPr="001B3284">
        <w:rPr>
          <w:rFonts w:ascii="Times New Roman" w:eastAsia="新細明體" w:hAnsi="Times New Roman" w:cs="Times New Roman" w:hint="eastAsia"/>
          <w:bCs/>
        </w:rPr>
        <w:t>劉念宜小姐</w:t>
      </w:r>
      <w:r>
        <w:rPr>
          <w:rFonts w:ascii="Times New Roman" w:eastAsia="新細明體" w:hAnsi="Times New Roman" w:cs="Times New Roman" w:hint="eastAsia"/>
          <w:bCs/>
        </w:rPr>
        <w:t>存查</w:t>
      </w:r>
      <w:r w:rsidRPr="001B3284">
        <w:rPr>
          <w:rFonts w:ascii="Times New Roman" w:eastAsia="新細明體" w:hAnsi="Times New Roman" w:cs="Times New Roman" w:hint="eastAsia"/>
          <w:bCs/>
        </w:rPr>
        <w:t>(</w:t>
      </w:r>
      <w:r w:rsidRPr="007075FB">
        <w:rPr>
          <w:rFonts w:ascii="Times New Roman" w:eastAsia="新細明體" w:hAnsi="Times New Roman" w:cs="Times New Roman"/>
          <w:bCs/>
        </w:rPr>
        <w:t>nyliu0505@isu.edu.tw</w:t>
      </w:r>
      <w:r w:rsidRPr="001B3284">
        <w:rPr>
          <w:rFonts w:ascii="Times New Roman" w:eastAsia="新細明體" w:hAnsi="Times New Roman" w:cs="Times New Roman" w:hint="eastAsia"/>
          <w:bCs/>
        </w:rPr>
        <w:t>)</w:t>
      </w:r>
      <w:r w:rsidRPr="001B3284">
        <w:rPr>
          <w:rFonts w:ascii="Times New Roman" w:eastAsia="新細明體" w:hAnsi="Times New Roman" w:cs="Times New Roman" w:hint="eastAsia"/>
          <w:bCs/>
        </w:rPr>
        <w:t>。</w:t>
      </w:r>
    </w:p>
    <w:p w14:paraId="19850DA3" w14:textId="77777777" w:rsidR="004631CB" w:rsidRPr="00BD2F4C" w:rsidRDefault="004631CB" w:rsidP="00881777">
      <w:pPr>
        <w:snapToGrid w:val="0"/>
        <w:spacing w:beforeLines="50" w:before="180" w:after="0" w:line="300" w:lineRule="auto"/>
        <w:jc w:val="both"/>
        <w:rPr>
          <w:rFonts w:ascii="Times New Roman" w:eastAsia="新細明體" w:hAnsi="Times New Roman" w:cs="Times New Roman"/>
          <w:bCs/>
        </w:rPr>
      </w:pPr>
    </w:p>
    <w:p w14:paraId="7C0AA6A1" w14:textId="19A6170F" w:rsidR="004631CB" w:rsidRPr="00341659" w:rsidRDefault="003B4754" w:rsidP="00881777">
      <w:pPr>
        <w:snapToGrid w:val="0"/>
        <w:spacing w:beforeLines="50" w:before="180" w:after="0" w:line="300" w:lineRule="auto"/>
        <w:jc w:val="both"/>
        <w:rPr>
          <w:rFonts w:ascii="Times New Roman" w:eastAsia="新細明體" w:hAnsi="Times New Roman" w:cs="Times New Roman"/>
          <w:b/>
        </w:rPr>
      </w:pPr>
      <w:r w:rsidRPr="00341659">
        <w:rPr>
          <w:rFonts w:ascii="Times New Roman" w:eastAsia="新細明體" w:hAnsi="Times New Roman" w:cs="Times New Roman" w:hint="eastAsia"/>
          <w:b/>
          <w:color w:val="0070C0"/>
        </w:rPr>
        <w:t>如果您尚未完成本年度教育訓練時數，可參考下方</w:t>
      </w:r>
      <w:r w:rsidR="004631CB" w:rsidRPr="00341659">
        <w:rPr>
          <w:rFonts w:ascii="新細明體" w:eastAsia="新細明體" w:hAnsi="新細明體" w:cs="Times New Roman" w:hint="eastAsia"/>
          <w:b/>
          <w:color w:val="0070C0"/>
        </w:rPr>
        <w:t>『</w:t>
      </w:r>
      <w:r w:rsidR="004631CB" w:rsidRPr="00341659">
        <w:rPr>
          <w:rFonts w:ascii="Times New Roman" w:eastAsia="新細明體" w:hAnsi="Times New Roman" w:cs="Times New Roman"/>
          <w:b/>
          <w:color w:val="0070C0"/>
        </w:rPr>
        <w:t>生物安全教育</w:t>
      </w:r>
      <w:proofErr w:type="gramStart"/>
      <w:r w:rsidR="004631CB" w:rsidRPr="00341659">
        <w:rPr>
          <w:rFonts w:ascii="Times New Roman" w:eastAsia="新細明體" w:hAnsi="Times New Roman" w:cs="Times New Roman"/>
          <w:b/>
          <w:color w:val="0070C0"/>
        </w:rPr>
        <w:t>訓練</w:t>
      </w:r>
      <w:r w:rsidR="004631CB" w:rsidRPr="00341659">
        <w:rPr>
          <w:rFonts w:ascii="Times New Roman" w:eastAsia="新細明體" w:hAnsi="Times New Roman" w:cs="Times New Roman"/>
          <w:b/>
          <w:color w:val="0070C0"/>
          <w:u w:val="single"/>
        </w:rPr>
        <w:t>線上</w:t>
      </w:r>
      <w:r w:rsidR="004631CB" w:rsidRPr="00341659">
        <w:rPr>
          <w:rFonts w:ascii="Times New Roman" w:eastAsia="新細明體" w:hAnsi="Times New Roman" w:cs="Times New Roman" w:hint="eastAsia"/>
          <w:b/>
          <w:color w:val="0070C0"/>
        </w:rPr>
        <w:t>課程</w:t>
      </w:r>
      <w:proofErr w:type="gramEnd"/>
      <w:r w:rsidR="004631CB" w:rsidRPr="00341659">
        <w:rPr>
          <w:rFonts w:ascii="新細明體" w:eastAsia="新細明體" w:hAnsi="新細明體" w:cs="Times New Roman" w:hint="eastAsia"/>
          <w:b/>
          <w:color w:val="0070C0"/>
        </w:rPr>
        <w:t>』</w:t>
      </w:r>
      <w:r w:rsidR="007E615A" w:rsidRPr="00341659">
        <w:rPr>
          <w:rFonts w:ascii="Times New Roman" w:eastAsia="新細明體" w:hAnsi="Times New Roman" w:cs="Times New Roman" w:hint="eastAsia"/>
          <w:b/>
          <w:color w:val="0070C0"/>
        </w:rPr>
        <w:t xml:space="preserve"> </w:t>
      </w:r>
      <w:r w:rsidR="007E615A" w:rsidRPr="00341659">
        <w:rPr>
          <w:rFonts w:ascii="Times New Roman" w:eastAsia="新細明體" w:hAnsi="Times New Roman" w:cs="Times New Roman" w:hint="eastAsia"/>
          <w:b/>
        </w:rPr>
        <w:t xml:space="preserve"> </w:t>
      </w:r>
    </w:p>
    <w:p w14:paraId="552D7A65" w14:textId="55A8A059" w:rsidR="003E3ECE" w:rsidRPr="001B3284" w:rsidRDefault="007E615A" w:rsidP="003B4754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hanging="338"/>
        <w:rPr>
          <w:rFonts w:ascii="Times New Roman" w:eastAsia="新細明體" w:hAnsi="Times New Roman" w:cs="Times New Roman"/>
          <w:bCs/>
        </w:rPr>
      </w:pPr>
      <w:r w:rsidRPr="001B3284">
        <w:rPr>
          <w:rFonts w:ascii="Times New Roman" w:eastAsia="新細明體" w:hAnsi="Times New Roman" w:cs="Times New Roman"/>
          <w:bCs/>
        </w:rPr>
        <w:t> </w:t>
      </w:r>
      <w:r w:rsidR="004631CB">
        <w:rPr>
          <w:rFonts w:ascii="Times New Roman" w:eastAsia="新細明體" w:hAnsi="Times New Roman" w:cs="Times New Roman" w:hint="eastAsia"/>
          <w:bCs/>
        </w:rPr>
        <w:t>請進入</w:t>
      </w:r>
      <w:hyperlink r:id="rId7" w:tgtFrame="_blank" w:history="1">
        <w:r w:rsidRPr="001B3284">
          <w:rPr>
            <w:rStyle w:val="a3"/>
            <w:rFonts w:ascii="Times New Roman" w:eastAsia="新細明體" w:hAnsi="Times New Roman" w:cs="Times New Roman"/>
            <w:bCs/>
          </w:rPr>
          <w:t>E</w:t>
        </w:r>
        <w:r w:rsidRPr="001B3284">
          <w:rPr>
            <w:rStyle w:val="a3"/>
            <w:rFonts w:ascii="Times New Roman" w:eastAsia="新細明體" w:hAnsi="Times New Roman" w:cs="Times New Roman"/>
            <w:bCs/>
          </w:rPr>
          <w:t>等公務園學習平台</w:t>
        </w:r>
      </w:hyperlink>
    </w:p>
    <w:p w14:paraId="7876FC1A" w14:textId="77777777" w:rsidR="00DD40E6" w:rsidRPr="001B3284" w:rsidRDefault="00BD00F7" w:rsidP="001B3284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hanging="338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 w:cs="Times New Roman"/>
        </w:rPr>
        <w:t>點選登入</w:t>
      </w:r>
    </w:p>
    <w:p w14:paraId="0A09DD79" w14:textId="5193CD32" w:rsidR="00BD00F7" w:rsidRPr="001B3284" w:rsidRDefault="00BD00F7" w:rsidP="001B3284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hanging="338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 w:cs="Times New Roman"/>
        </w:rPr>
        <w:t>選擇註冊方式</w:t>
      </w:r>
      <w:r w:rsidR="007470BD" w:rsidRPr="001B3284">
        <w:rPr>
          <w:rFonts w:ascii="Times New Roman" w:eastAsia="新細明體" w:hAnsi="Times New Roman" w:cs="Times New Roman" w:hint="eastAsia"/>
        </w:rPr>
        <w:t xml:space="preserve"> (</w:t>
      </w:r>
      <w:r w:rsidR="00926B0A" w:rsidRPr="001B3284">
        <w:rPr>
          <w:rFonts w:ascii="Times New Roman" w:eastAsia="新細明體" w:hAnsi="Times New Roman" w:cs="Times New Roman" w:hint="eastAsia"/>
        </w:rPr>
        <w:t>建議</w:t>
      </w:r>
      <w:r w:rsidRPr="001B3284">
        <w:rPr>
          <w:rFonts w:ascii="Times New Roman" w:eastAsia="新細明體" w:hAnsi="Times New Roman" w:cs="Times New Roman"/>
        </w:rPr>
        <w:t>點選</w:t>
      </w:r>
      <w:r w:rsidRPr="001B3284">
        <w:rPr>
          <w:rFonts w:ascii="Times New Roman" w:eastAsia="新細明體" w:hAnsi="Times New Roman" w:cs="Times New Roman"/>
        </w:rPr>
        <w:t>"</w:t>
      </w:r>
      <w:r w:rsidRPr="001B3284">
        <w:rPr>
          <w:rFonts w:ascii="Times New Roman" w:eastAsia="新細明體" w:hAnsi="Times New Roman" w:cs="Times New Roman"/>
        </w:rPr>
        <w:t>一般民眾登入</w:t>
      </w:r>
      <w:r w:rsidRPr="001B3284">
        <w:rPr>
          <w:rFonts w:ascii="Times New Roman" w:eastAsia="新細明體" w:hAnsi="Times New Roman" w:cs="Times New Roman"/>
        </w:rPr>
        <w:t>"</w:t>
      </w:r>
      <w:r w:rsidRPr="001B3284">
        <w:rPr>
          <w:rFonts w:ascii="Times New Roman" w:eastAsia="新細明體" w:hAnsi="Times New Roman" w:cs="Times New Roman"/>
        </w:rPr>
        <w:t>之</w:t>
      </w:r>
      <w:r w:rsidRPr="001B3284">
        <w:rPr>
          <w:rFonts w:ascii="Times New Roman" w:eastAsia="新細明體" w:hAnsi="Times New Roman" w:cs="Times New Roman"/>
        </w:rPr>
        <w:t>"Facebook"</w:t>
      </w:r>
      <w:r w:rsidRPr="001B3284">
        <w:rPr>
          <w:rFonts w:ascii="Times New Roman" w:eastAsia="新細明體" w:hAnsi="Times New Roman" w:cs="Times New Roman"/>
        </w:rPr>
        <w:t>或</w:t>
      </w:r>
      <w:r w:rsidRPr="001B3284">
        <w:rPr>
          <w:rFonts w:ascii="Times New Roman" w:eastAsia="新細明體" w:hAnsi="Times New Roman" w:cs="Times New Roman"/>
        </w:rPr>
        <w:t>"google"</w:t>
      </w:r>
      <w:r w:rsidRPr="001B3284">
        <w:rPr>
          <w:rFonts w:ascii="Times New Roman" w:eastAsia="新細明體" w:hAnsi="Times New Roman" w:cs="Times New Roman"/>
        </w:rPr>
        <w:t>帳號申請</w:t>
      </w:r>
      <w:r w:rsidR="007470BD" w:rsidRPr="001B3284">
        <w:rPr>
          <w:rFonts w:ascii="Times New Roman" w:eastAsia="新細明體" w:hAnsi="Times New Roman" w:cs="Times New Roman" w:hint="eastAsia"/>
        </w:rPr>
        <w:t>)</w:t>
      </w:r>
    </w:p>
    <w:p w14:paraId="378218E4" w14:textId="40140E6E" w:rsidR="00BD00F7" w:rsidRPr="00BD00F7" w:rsidRDefault="00BD00F7" w:rsidP="00881777">
      <w:pPr>
        <w:snapToGrid w:val="0"/>
        <w:spacing w:after="0" w:line="300" w:lineRule="auto"/>
        <w:ind w:leftChars="236" w:left="566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 w:cs="Times New Roman"/>
          <w:noProof/>
        </w:rPr>
        <w:drawing>
          <wp:inline distT="0" distB="0" distL="0" distR="0" wp14:anchorId="69043B97" wp14:editId="37915C56">
            <wp:extent cx="2477407" cy="1568823"/>
            <wp:effectExtent l="0" t="0" r="0" b="0"/>
            <wp:docPr id="116651676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44" cy="157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F46A" w14:textId="66F91528" w:rsidR="00361252" w:rsidRPr="001B3284" w:rsidRDefault="00AD072B" w:rsidP="00881777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hanging="338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 w:cs="Times New Roman"/>
        </w:rPr>
        <w:t>註冊</w:t>
      </w:r>
      <w:r w:rsidR="00881777">
        <w:rPr>
          <w:rFonts w:ascii="Times New Roman" w:eastAsia="新細明體" w:hAnsi="Times New Roman" w:cs="Times New Roman" w:hint="eastAsia"/>
        </w:rPr>
        <w:t xml:space="preserve"> (</w:t>
      </w:r>
      <w:r w:rsidR="005E4DBD" w:rsidRPr="001B3284">
        <w:rPr>
          <w:rFonts w:ascii="Times New Roman" w:eastAsia="新細明體" w:hAnsi="Times New Roman" w:cs="Times New Roman"/>
        </w:rPr>
        <w:t>第一次登入需輸入相關資料，</w:t>
      </w:r>
      <w:r w:rsidR="005E4DBD" w:rsidRPr="001B3284">
        <w:rPr>
          <w:rFonts w:ascii="Times New Roman" w:eastAsia="新細明體" w:hAnsi="Times New Roman" w:cs="Times New Roman" w:hint="eastAsia"/>
          <w:color w:val="0000FF"/>
        </w:rPr>
        <w:t>暱稱請填入「</w:t>
      </w:r>
      <w:r w:rsidR="005E4DBD" w:rsidRPr="001B3284">
        <w:rPr>
          <w:rFonts w:ascii="Times New Roman" w:eastAsia="新細明體" w:hAnsi="Times New Roman" w:cs="Times New Roman"/>
          <w:color w:val="0000FF"/>
        </w:rPr>
        <w:t>姓名</w:t>
      </w:r>
      <w:r w:rsidR="005E4DBD" w:rsidRPr="001B3284">
        <w:rPr>
          <w:rFonts w:ascii="Times New Roman" w:eastAsia="新細明體" w:hAnsi="Times New Roman" w:cs="Times New Roman" w:hint="eastAsia"/>
          <w:color w:val="0000FF"/>
        </w:rPr>
        <w:t>」</w:t>
      </w:r>
      <w:r w:rsidR="005E4DBD" w:rsidRPr="001B3284">
        <w:rPr>
          <w:rFonts w:ascii="Times New Roman" w:eastAsia="新細明體" w:hAnsi="Times New Roman" w:cs="Times New Roman"/>
        </w:rPr>
        <w:t>，</w:t>
      </w:r>
      <w:r w:rsidR="005E4DBD" w:rsidRPr="001B3284">
        <w:rPr>
          <w:rFonts w:ascii="Times New Roman" w:eastAsia="新細明體" w:hAnsi="Times New Roman" w:cs="Times New Roman" w:hint="eastAsia"/>
        </w:rPr>
        <w:t>以利系統製作學分證明</w:t>
      </w:r>
      <w:r w:rsidR="00881777">
        <w:rPr>
          <w:rFonts w:ascii="Times New Roman" w:eastAsia="新細明體" w:hAnsi="Times New Roman" w:cs="Times New Roman" w:hint="eastAsia"/>
        </w:rPr>
        <w:t>)</w:t>
      </w:r>
    </w:p>
    <w:p w14:paraId="2DD44445" w14:textId="2F5965BF" w:rsidR="005E4DBD" w:rsidRPr="001B3284" w:rsidRDefault="00773FF1" w:rsidP="00881777">
      <w:pPr>
        <w:pStyle w:val="a5"/>
        <w:snapToGrid w:val="0"/>
        <w:spacing w:after="0" w:line="300" w:lineRule="auto"/>
        <w:ind w:leftChars="0" w:left="482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 w:cs="Times New Roman" w:hint="eastAsia"/>
          <w:noProof/>
        </w:rPr>
        <w:drawing>
          <wp:inline distT="0" distB="0" distL="0" distR="0" wp14:anchorId="60FB742E" wp14:editId="0E67C432">
            <wp:extent cx="2484564" cy="1201271"/>
            <wp:effectExtent l="0" t="0" r="0" b="0"/>
            <wp:docPr id="30080289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67" cy="120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4149" w14:textId="7BCD3A00" w:rsidR="00131EAC" w:rsidRPr="001B3284" w:rsidRDefault="00131EAC" w:rsidP="00881777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hanging="338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 w:cs="Times New Roman"/>
        </w:rPr>
        <w:t>實驗室生物安全相關數位學習課程主題、名稱及時數如下表：</w:t>
      </w:r>
    </w:p>
    <w:tbl>
      <w:tblPr>
        <w:tblW w:w="4713" w:type="pct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本表格第一列為表頭,表頭第一欄為項次,第二欄為主題,第三欄為課程名稱"/>
      </w:tblPr>
      <w:tblGrid>
        <w:gridCol w:w="560"/>
        <w:gridCol w:w="1682"/>
        <w:gridCol w:w="6828"/>
      </w:tblGrid>
      <w:tr w:rsidR="00881777" w:rsidRPr="00881777" w14:paraId="54481928" w14:textId="77777777" w:rsidTr="00881777">
        <w:trPr>
          <w:tblHeader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4AC6D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項次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773B0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主題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E1994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課程名稱</w:t>
            </w:r>
          </w:p>
        </w:tc>
      </w:tr>
      <w:tr w:rsidR="00881777" w:rsidRPr="00881777" w14:paraId="2AB23324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9FDED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2B269" w14:textId="77777777" w:rsidR="004631CB" w:rsidRDefault="004268DE" w:rsidP="004631CB">
            <w:pPr>
              <w:pStyle w:val="a5"/>
              <w:snapToGrid w:val="0"/>
              <w:spacing w:after="0" w:line="240" w:lineRule="auto"/>
              <w:ind w:leftChars="-3" w:left="-7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實驗室生物</w:t>
            </w:r>
          </w:p>
          <w:p w14:paraId="4D8F6A9A" w14:textId="14339B8A" w:rsidR="004268DE" w:rsidRPr="004631CB" w:rsidRDefault="004268DE" w:rsidP="004631CB">
            <w:pPr>
              <w:pStyle w:val="a5"/>
              <w:snapToGrid w:val="0"/>
              <w:spacing w:after="0" w:line="240" w:lineRule="auto"/>
              <w:ind w:leftChars="-3" w:left="-7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631CB">
              <w:rPr>
                <w:rFonts w:ascii="Times New Roman" w:eastAsia="新細明體" w:hAnsi="Times New Roman" w:cs="Times New Roman"/>
                <w:sz w:val="20"/>
                <w:szCs w:val="20"/>
              </w:rPr>
              <w:t>風險管理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8D1FC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0" w:tgtFrame="_blank" w:tooltip="生物風險評估概論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生物風險評估概論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2C580476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1" w:tgtFrame="_blank" w:tooltip="實驗室生物安全與生物保全風險評鑑技術指引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實驗室生物安全與生物保全風險評鑑技術指引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683F9F10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2" w:tgtFrame="_blank" w:tooltip="實驗室生物風險管理系統規範介紹(一)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實驗室生物風險管理系統規範介紹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</w:t>
              </w:r>
              <w:proofErr w:type="gramStart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一</w:t>
              </w:r>
              <w:proofErr w:type="gramEnd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)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4380DB82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3" w:tgtFrame="_blank" w:tooltip="實驗室生物風險管理系統規範介紹(二)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實驗室生物風險管理系統規範介紹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二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)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4B310E1D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4" w:tgtFrame="_blank" w:tooltip="實驗室生物風險管理規範及實施指引介紹(一)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實驗室生物風險管理規範及實施指引介紹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</w:t>
              </w:r>
              <w:proofErr w:type="gramStart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一</w:t>
              </w:r>
              <w:proofErr w:type="gramEnd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)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4DCD91A9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5" w:tgtFrame="_blank" w:tooltip="實驗室生物風險管理規範及實施指引介紹(二)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實驗室生物風險管理規範及實施指引介紹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二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)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3798E3FA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6" w:tgtFrame="_blank" w:tooltip="實驗室內部稽核與管理審查實務及案例_上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實驗室內部稽核與管理審查實務及案例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_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上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38B0E295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7" w:tgtFrame="_blank" w:tooltip="實驗室內部稽核與管理審查實務及案例_下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實驗室內部稽核與管理審查實務及案例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_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下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2C8C89A5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8" w:tgtFrame="_blank" w:tooltip="實驗室導入實驗室生物風險管理系統經驗分享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實驗室導入實驗室生物風險管理系統經驗分享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4596C398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9" w:tgtFrame="_blank" w:tooltip="實驗室生物風險管理系統文件基礎架構與撰寫技巧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實驗室生物風險管理系統文件基礎架構與撰寫技巧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3B31FAE8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0" w:tgtFrame="_blank" w:tooltip="實驗室生物風險管理系統文件實作分享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實驗室生物風險管理系統文件實作分享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27EF0769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1" w:tgtFrame="_blank" w:tooltip="實驗室異常事件管理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實驗室異常事件管理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11F97961" w14:textId="6FA1A976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2" w:tgtFrame="_blank" w:tooltip="設置單位生物安全會在實驗室導入生物風險管理系統之角色及任務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設置單位生物安全會在實驗室導入生物風險管理系統之角色及任務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661F821C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0A8B3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250BB" w14:textId="77777777" w:rsidR="004631CB" w:rsidRDefault="004268DE" w:rsidP="004631CB">
            <w:pPr>
              <w:pStyle w:val="a5"/>
              <w:snapToGrid w:val="0"/>
              <w:spacing w:after="0" w:line="240" w:lineRule="auto"/>
              <w:ind w:leftChars="-3" w:left="-7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實驗室生物安全</w:t>
            </w:r>
          </w:p>
          <w:p w14:paraId="44348C7B" w14:textId="05E31F3E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-3" w:left="-7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管理組織及運作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89176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3" w:tgtFrame="_blank" w:tooltip="如何透過內部稽核加強實驗室的生物安全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如何透過內部稽核加強實驗室的生物安全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67EE49B6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4" w:tgtFrame="_blank" w:tooltip="實驗室生物安全的管理架構及其運作流程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實驗室生物安全的管理架構及其運作流程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12ABA0B8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5" w:tgtFrame="_blank" w:tooltip="實驗室生物安全對品質系統維持的重要性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實驗室生物安全對品質系統維持的重要性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5F359273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6" w:tgtFrame="_blank" w:tooltip="實驗室內部稽核實務與技巧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實驗室內部稽核實務與技巧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3C7CDAD4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7" w:tgtFrame="_blank" w:tooltip="實驗室人員生物安全知能評核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實驗室人員生物安全知能評核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2EFE2007" w14:textId="2A34891D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8" w:tgtFrame="_blank" w:tooltip="生物安全第二等級實驗室管理與實驗室風險評估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生物安全第二等級實驗室管理與實驗室風險評估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62927EAC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F56A5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BD60D" w14:textId="77777777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實驗室生物保全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DB339" w14:textId="08815C7D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29" w:tgtFrame="_blank" w:tooltip="感染性生物材料管理與保全(1)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感染性生物材料管理與保全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(1)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實驗室生物保全簡介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  <w:r w:rsidR="00881777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148F8FF6" w14:textId="65C5E586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0" w:tgtFrame="_blank" w:tooltip="感染性生物材料管理與保全(2)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感染性生物材料管理與保全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(2)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實驗室生物保全實務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  <w:r w:rsidR="00881777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881777" w:rsidRPr="00881777" w14:paraId="6AA3CD94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27011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1FF03" w14:textId="77777777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實驗室安全規範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956E7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1" w:tgtFrame="_blank" w:tooltip="實驗室生物安全規範：第三章實體阻隔要求3.1-3.4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實驗室生物安全規範：第三章實體阻隔要求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3.1-3.4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42BBBE8D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2" w:tgtFrame="_blank" w:tooltip="實驗室生物安全規範：第三章實體阻隔要求3.5-3.8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實驗室生物安全規範：第三章實體阻隔要求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3.5-3.8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55B2292D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3" w:tgtFrame="_blank" w:tooltip="實驗室生物安全規範：第四章操作規範要求4.1-4.5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實驗室生物安全規範：第四章操作規範要求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4.1-4.5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2180F0D5" w14:textId="4201AF62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4" w:tgtFrame="_blank" w:tooltip="實驗室生物安全規範：第四章操作規範要求4.6-4.10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實驗室生物安全規範：第四章操作規範要求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4.6-4.10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787BFF37" w14:textId="77777777" w:rsidTr="004631CB">
        <w:trPr>
          <w:trHeight w:val="619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29B6E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D0A94" w14:textId="77777777" w:rsidR="004631CB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實驗室安全設備</w:t>
            </w:r>
          </w:p>
          <w:p w14:paraId="49E19DAE" w14:textId="7181483C" w:rsidR="004268DE" w:rsidRPr="004631CB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631CB">
              <w:rPr>
                <w:rFonts w:ascii="Times New Roman" w:eastAsia="新細明體" w:hAnsi="Times New Roman" w:cs="Times New Roman"/>
                <w:sz w:val="20"/>
                <w:szCs w:val="20"/>
              </w:rPr>
              <w:t>生物</w:t>
            </w:r>
            <w:proofErr w:type="gramStart"/>
            <w:r w:rsidRPr="004631CB">
              <w:rPr>
                <w:rFonts w:ascii="Times New Roman" w:eastAsia="新細明體" w:hAnsi="Times New Roman" w:cs="Times New Roman"/>
                <w:sz w:val="20"/>
                <w:szCs w:val="20"/>
              </w:rPr>
              <w:t>安全櫃</w:t>
            </w:r>
            <w:proofErr w:type="gramEnd"/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05448" w14:textId="77777777" w:rsidR="00881777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5" w:tgtFrame="_blank" w:tooltip="生物安全櫃檢測程序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生物</w:t>
              </w:r>
              <w:proofErr w:type="gramStart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安全櫃</w:t>
              </w:r>
              <w:proofErr w:type="gramEnd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檢測程序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(2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6F6B0A6E" w14:textId="45BDA002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6" w:tgtFrame="_blank" w:tooltip="生物安全櫃之分類選用及報告判讀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生物</w:t>
              </w:r>
              <w:proofErr w:type="gramStart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安全櫃</w:t>
              </w:r>
              <w:proofErr w:type="gramEnd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之分類選用及報告判讀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(2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7B6F6C09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AD87E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91F" w14:textId="4D8A18AC" w:rsidR="00881777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實驗室安全設備</w:t>
            </w:r>
          </w:p>
          <w:p w14:paraId="7D5028D2" w14:textId="023C369B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高溫高壓滅菌器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AF255" w14:textId="77777777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7" w:tgtFrame="_blank" w:tooltip="高溫高壓滅菌器檢測及確效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高溫高壓滅菌器檢測及確效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2D4DEEBA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08835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9A366" w14:textId="77777777" w:rsidR="004631CB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實驗室負壓</w:t>
            </w:r>
          </w:p>
          <w:p w14:paraId="4FC64BAB" w14:textId="6989FC1C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原理與設計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CD7A4" w14:textId="77777777" w:rsidR="007014C5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8" w:tgtFrame="_blank" w:tooltip="實驗室負壓換氣等設施檢測及確效程序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實驗室負壓換氣等設施檢測及確效程序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(2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645C8494" w14:textId="428E9D7F" w:rsidR="007014C5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39" w:tgtFrame="_blank" w:tooltip="實驗室負壓換氣等設施檢測報告判讀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實驗室負壓換氣等設施檢測報告判讀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(2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0551C70D" w14:textId="6DCCC989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0" w:tgtFrame="_blank" w:tooltip="負壓實驗室生物安全查核硬體之項目、技巧及判定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負壓實驗室生物安全查核硬體之項目、技巧及判定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(2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2625FB29" w14:textId="77777777" w:rsidTr="004631CB">
        <w:trPr>
          <w:trHeight w:val="634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C2778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2EE87" w14:textId="77777777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實驗室空調系統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2737" w14:textId="77777777" w:rsidR="007014C5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1" w:tgtFrame="_blank" w:tooltip="負壓實驗室通風及空調系統之規劃及注意事項(初級)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負壓實驗室通風及空調系統之規劃及注意事項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初級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)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615572E7" w14:textId="40122C66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2" w:tgtFrame="_blank" w:tooltip="負壓實驗室通風及空調系統之規劃及注意事項(進階)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負壓實驗室通風及空調系統之規劃及注意事項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進階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)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137F1DE5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1154F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BD4E2" w14:textId="77777777" w:rsidR="004631CB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優良微生物</w:t>
            </w:r>
          </w:p>
          <w:p w14:paraId="023B4122" w14:textId="4814180F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操作技術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E6921" w14:textId="77777777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3" w:tgtFrame="_blank" w:tooltip="實驗室生物安全(1)生物安全防護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實驗室生物安全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(1)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生物安全防護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1C719AEA" w14:textId="77777777" w:rsidR="004631CB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4" w:tgtFrame="_blank" w:tooltip="實驗室生物安全(2)優良微生物技術及生物保全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實驗室生物安全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(2)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優良微生物技術及生物保全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    </w:t>
            </w:r>
            <w:r w:rsidR="004631CB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</w:p>
          <w:p w14:paraId="272E3C1B" w14:textId="77777777" w:rsidR="004631CB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5" w:tgtFrame="_blank" w:tooltip="生物安全第三等級實驗室生物安全注意事項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生物安全第三等級實驗室生物安全注意事項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1353DE2D" w14:textId="5B9CB217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6" w:tgtFrame="_blank" w:tooltip="在結核菌室工作相關的生物安全措施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在結核菌室工作相關的生物安全措施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7270CBD8" w14:textId="77777777" w:rsidTr="004631CB">
        <w:trPr>
          <w:trHeight w:val="364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AA0DA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989B0" w14:textId="77777777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實驗室消毒與滅菌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3EB26" w14:textId="77777777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7" w:tgtFrame="_blank" w:tooltip="實驗室消毒與滅菌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實驗室消毒與滅菌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661BC782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922C4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B6A62" w14:textId="77777777" w:rsidR="004631CB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感染性物質包裝</w:t>
            </w:r>
          </w:p>
          <w:p w14:paraId="4CC79870" w14:textId="70C4ADC6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與運輸安全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6F9A1" w14:textId="77777777" w:rsidR="004631CB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8" w:tgtFrame="_blank" w:tooltip="感染性物質運輸安全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感染性物質運輸安全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0B44DD69" w14:textId="41BA2B96" w:rsidR="004631CB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49" w:tgtFrame="_blank" w:tooltip="感染性物質運輸規範介紹-陸運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感染性物質運輸規範介紹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-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陸運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202FD56F" w14:textId="53980D58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50" w:tgtFrame="_blank" w:tooltip="感染性物質運輸規範介紹-空運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感染性物質運輸規範介紹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-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空運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61BCA26C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1AB4E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D3003" w14:textId="77777777" w:rsidR="004631CB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實驗室緊急</w:t>
            </w:r>
          </w:p>
          <w:p w14:paraId="6AD5AA72" w14:textId="1A811848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應變計畫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8D2D3" w14:textId="77777777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51" w:tgtFrame="_blank" w:tooltip="災害應變計畫撰寫、演練(推演)及確效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災害應變計畫撰寫、演練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推演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)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及確效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2787B7A3" w14:textId="77777777" w:rsidTr="004631CB">
        <w:trPr>
          <w:trHeight w:val="360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FE4CD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93E9A" w14:textId="77777777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實驗室應變及演練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36146" w14:textId="77777777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52" w:tgtFrame="_blank" w:tooltip="實驗室災害應變介紹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實驗室災害應變介紹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(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認識實驗室潛在危害因子及災害分析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)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  <w:tr w:rsidR="00881777" w:rsidRPr="00881777" w14:paraId="4E593432" w14:textId="77777777" w:rsidTr="00881777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CAFB3" w14:textId="77777777" w:rsidR="004268DE" w:rsidRPr="004268DE" w:rsidRDefault="004268DE" w:rsidP="00881777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CBBD3" w14:textId="77777777" w:rsidR="004631CB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管制性病原及</w:t>
            </w:r>
          </w:p>
          <w:p w14:paraId="420D2471" w14:textId="24643B1E" w:rsidR="004268DE" w:rsidRPr="004268DE" w:rsidRDefault="004268DE" w:rsidP="004631CB">
            <w:pPr>
              <w:pStyle w:val="a5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毒素管理</w:t>
            </w:r>
          </w:p>
        </w:tc>
        <w:tc>
          <w:tcPr>
            <w:tcW w:w="3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9FA0D" w14:textId="77777777" w:rsidR="004631CB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53" w:tgtFrame="_blank" w:tooltip="高危險病原體及毒素研究計畫審查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高危險病原體及毒素研究計畫審查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05A02B0A" w14:textId="77777777" w:rsidR="004631CB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54" w:tgtFrame="_blank" w:tooltip="管制性病原及毒素保全計畫指引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管制性病原及毒素保全計畫指引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(2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4125575A" w14:textId="77777777" w:rsidR="004631CB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55" w:tgtFrame="_blank" w:tooltip="管制性病原及毒素事故應變計畫指引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管制性病原及毒素事故應變計畫指引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73303955" w14:textId="77777777" w:rsidR="004631CB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56" w:tgtFrame="_blank" w:tooltip="管制性病原及毒素工作人員適任性評估指引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管制性病原及毒素工作人員</w:t>
              </w:r>
              <w:proofErr w:type="gramStart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適</w:t>
              </w:r>
              <w:proofErr w:type="gramEnd"/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任性評估指引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(2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  <w:p w14:paraId="0D3BE8A8" w14:textId="7DBDBE08" w:rsidR="004268DE" w:rsidRPr="004268DE" w:rsidRDefault="00F447D9" w:rsidP="00881777">
            <w:pPr>
              <w:pStyle w:val="a5"/>
              <w:snapToGrid w:val="0"/>
              <w:spacing w:after="0" w:line="240" w:lineRule="auto"/>
              <w:ind w:leftChars="32" w:left="7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57" w:tgtFrame="_blank" w:tooltip="管制性病原及毒素生物安全/生物防護計畫指引(另開新視窗)" w:history="1"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管制性病原及毒素生物安全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/</w:t>
              </w:r>
              <w:r w:rsidR="004268DE" w:rsidRPr="004268DE">
                <w:rPr>
                  <w:rStyle w:val="a3"/>
                  <w:rFonts w:ascii="Times New Roman" w:eastAsia="新細明體" w:hAnsi="Times New Roman" w:cs="Times New Roman"/>
                  <w:sz w:val="20"/>
                  <w:szCs w:val="20"/>
                </w:rPr>
                <w:t>生物防護計畫指引</w:t>
              </w:r>
            </w:hyperlink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(1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小時</w:t>
            </w:r>
            <w:r w:rsidR="004268DE" w:rsidRPr="004268DE">
              <w:rPr>
                <w:rFonts w:ascii="Times New Roman" w:eastAsia="新細明體" w:hAnsi="Times New Roman" w:cs="Times New Roman"/>
                <w:sz w:val="20"/>
                <w:szCs w:val="20"/>
              </w:rPr>
              <w:t>)</w:t>
            </w:r>
          </w:p>
        </w:tc>
      </w:tr>
    </w:tbl>
    <w:p w14:paraId="107E6EE9" w14:textId="5E242545" w:rsidR="00EE4E4F" w:rsidRPr="001B3284" w:rsidRDefault="004268DE" w:rsidP="00C16F2C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left="482" w:hanging="340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 w:cs="Times New Roman" w:hint="eastAsia"/>
        </w:rPr>
        <w:t>選擇課程</w:t>
      </w:r>
      <w:r w:rsidRPr="001B3284">
        <w:rPr>
          <w:rFonts w:ascii="Times New Roman" w:eastAsia="新細明體" w:hAnsi="Times New Roman" w:cs="Times New Roman"/>
        </w:rPr>
        <w:t>，</w:t>
      </w:r>
      <w:r w:rsidR="00EE4E4F" w:rsidRPr="001B3284">
        <w:rPr>
          <w:rFonts w:ascii="Times New Roman" w:eastAsia="新細明體" w:hAnsi="Times New Roman" w:cs="Times New Roman"/>
        </w:rPr>
        <w:t>連結網址後，於螢幕上點選「報名課程」，完成報名。</w:t>
      </w:r>
    </w:p>
    <w:p w14:paraId="3BAC9057" w14:textId="3B42ACAB" w:rsidR="003E3ECE" w:rsidRPr="00C16F2C" w:rsidRDefault="003E3ECE" w:rsidP="00C16F2C">
      <w:pPr>
        <w:snapToGrid w:val="0"/>
        <w:spacing w:after="0" w:line="300" w:lineRule="auto"/>
        <w:ind w:leftChars="236" w:left="566"/>
        <w:rPr>
          <w:rFonts w:ascii="Times New Roman" w:eastAsia="新細明體" w:hAnsi="Times New Roman" w:cs="Times New Roman"/>
        </w:rPr>
      </w:pPr>
      <w:r w:rsidRPr="001B3284">
        <w:rPr>
          <w:noProof/>
        </w:rPr>
        <w:lastRenderedPageBreak/>
        <w:drawing>
          <wp:inline distT="0" distB="0" distL="0" distR="0" wp14:anchorId="548E34BB" wp14:editId="2834BE94">
            <wp:extent cx="4032850" cy="1353670"/>
            <wp:effectExtent l="0" t="0" r="6350" b="0"/>
            <wp:docPr id="199331648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381" cy="136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B39CB" w14:textId="5761DBF2" w:rsidR="00765927" w:rsidRPr="001B3284" w:rsidRDefault="00765927" w:rsidP="00B36EBC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left="482" w:hanging="340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 w:cs="Times New Roman"/>
        </w:rPr>
        <w:t>至「個人專區」下拉，點選「我的課程」，</w:t>
      </w:r>
      <w:r w:rsidR="00EA6AC9">
        <w:rPr>
          <w:rFonts w:ascii="Times New Roman" w:eastAsia="新細明體" w:hAnsi="Times New Roman" w:cs="Times New Roman" w:hint="eastAsia"/>
        </w:rPr>
        <w:t>可見</w:t>
      </w:r>
      <w:r w:rsidRPr="001B3284">
        <w:rPr>
          <w:rFonts w:ascii="Times New Roman" w:eastAsia="新細明體" w:hAnsi="Times New Roman" w:cs="Times New Roman"/>
        </w:rPr>
        <w:t>已</w:t>
      </w:r>
      <w:r w:rsidR="00EA6AC9">
        <w:rPr>
          <w:rFonts w:ascii="Times New Roman" w:eastAsia="新細明體" w:hAnsi="Times New Roman" w:cs="Times New Roman" w:hint="eastAsia"/>
        </w:rPr>
        <w:t>報名的</w:t>
      </w:r>
      <w:r w:rsidRPr="001B3284">
        <w:rPr>
          <w:rFonts w:ascii="Times New Roman" w:eastAsia="新細明體" w:hAnsi="Times New Roman" w:cs="Times New Roman"/>
        </w:rPr>
        <w:t>課程。</w:t>
      </w:r>
    </w:p>
    <w:p w14:paraId="609E1BCD" w14:textId="6DFED604" w:rsidR="002377E8" w:rsidRPr="001B3284" w:rsidRDefault="002377E8" w:rsidP="001B3284">
      <w:pPr>
        <w:pStyle w:val="a5"/>
        <w:snapToGrid w:val="0"/>
        <w:spacing w:beforeLines="50" w:before="180" w:after="0" w:line="300" w:lineRule="auto"/>
        <w:ind w:leftChars="0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/>
          <w:noProof/>
        </w:rPr>
        <w:drawing>
          <wp:inline distT="0" distB="0" distL="0" distR="0" wp14:anchorId="30088CF9" wp14:editId="6ACF7557">
            <wp:extent cx="4419600" cy="1398884"/>
            <wp:effectExtent l="0" t="0" r="0" b="0"/>
            <wp:docPr id="200295528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435" cy="140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0986C" w14:textId="77777777" w:rsidR="00B36EBC" w:rsidRDefault="002377E8" w:rsidP="00B36EBC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left="482" w:hanging="340"/>
        <w:rPr>
          <w:rFonts w:ascii="Times New Roman" w:eastAsia="新細明體" w:hAnsi="Times New Roman" w:cs="Times New Roman"/>
        </w:rPr>
      </w:pPr>
      <w:r w:rsidRPr="002377E8">
        <w:rPr>
          <w:rFonts w:ascii="Times New Roman" w:eastAsia="新細明體" w:hAnsi="Times New Roman" w:cs="Times New Roman"/>
        </w:rPr>
        <w:t>點選「</w:t>
      </w:r>
      <w:r w:rsidR="00B36EBC">
        <w:rPr>
          <w:rFonts w:ascii="Times New Roman" w:eastAsia="新細明體" w:hAnsi="Times New Roman" w:cs="Times New Roman" w:hint="eastAsia"/>
        </w:rPr>
        <w:t>上課去</w:t>
      </w:r>
      <w:r w:rsidRPr="002377E8">
        <w:rPr>
          <w:rFonts w:ascii="Times New Roman" w:eastAsia="新細明體" w:hAnsi="Times New Roman" w:cs="Times New Roman"/>
        </w:rPr>
        <w:t>」開始上課。</w:t>
      </w:r>
    </w:p>
    <w:p w14:paraId="1EE4F777" w14:textId="77777777" w:rsidR="00885027" w:rsidRPr="00B36EBC" w:rsidRDefault="00885027" w:rsidP="00885027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left="482" w:hanging="340"/>
        <w:rPr>
          <w:rFonts w:ascii="Times New Roman" w:eastAsia="新細明體" w:hAnsi="Times New Roman" w:cs="Times New Roman"/>
        </w:rPr>
      </w:pPr>
      <w:r w:rsidRPr="00B36EBC">
        <w:rPr>
          <w:rFonts w:ascii="Times New Roman" w:eastAsia="新細明體" w:hAnsi="Times New Roman" w:cs="Times New Roman"/>
        </w:rPr>
        <w:t>上課完畢</w:t>
      </w:r>
      <w:r>
        <w:rPr>
          <w:rFonts w:ascii="Times New Roman" w:eastAsia="新細明體" w:hAnsi="Times New Roman" w:cs="Times New Roman" w:hint="eastAsia"/>
        </w:rPr>
        <w:t>，且</w:t>
      </w:r>
      <w:r w:rsidRPr="00B36EBC">
        <w:rPr>
          <w:rFonts w:ascii="Times New Roman" w:eastAsia="新細明體" w:hAnsi="Times New Roman" w:cs="Times New Roman"/>
        </w:rPr>
        <w:t>完成測驗及問卷後，即可列印證書</w:t>
      </w:r>
      <w:r>
        <w:rPr>
          <w:rFonts w:ascii="Times New Roman" w:eastAsia="新細明體" w:hAnsi="Times New Roman" w:cs="Times New Roman" w:hint="eastAsia"/>
        </w:rPr>
        <w:t>，建議列印成</w:t>
      </w:r>
      <w:r>
        <w:rPr>
          <w:rFonts w:ascii="Times New Roman" w:eastAsia="新細明體" w:hAnsi="Times New Roman" w:cs="Times New Roman" w:hint="eastAsia"/>
        </w:rPr>
        <w:t xml:space="preserve"> </w:t>
      </w:r>
      <w:r>
        <w:rPr>
          <w:rFonts w:ascii="Times New Roman" w:eastAsia="新細明體" w:hAnsi="Times New Roman" w:cs="Times New Roman"/>
        </w:rPr>
        <w:t xml:space="preserve">PDF </w:t>
      </w:r>
      <w:r>
        <w:rPr>
          <w:rFonts w:ascii="Times New Roman" w:eastAsia="新細明體" w:hAnsi="Times New Roman" w:cs="Times New Roman" w:hint="eastAsia"/>
        </w:rPr>
        <w:t>檔以利後續之電子郵件繳交步驟</w:t>
      </w:r>
      <w:r w:rsidRPr="00B36EBC">
        <w:rPr>
          <w:rFonts w:ascii="Times New Roman" w:eastAsia="新細明體" w:hAnsi="Times New Roman" w:cs="Times New Roman"/>
        </w:rPr>
        <w:t>。</w:t>
      </w:r>
    </w:p>
    <w:p w14:paraId="3FA8C1D6" w14:textId="3C5FC187" w:rsidR="002377E8" w:rsidRDefault="0080087D" w:rsidP="001B3284">
      <w:pPr>
        <w:pStyle w:val="a5"/>
        <w:snapToGrid w:val="0"/>
        <w:spacing w:beforeLines="50" w:before="180" w:after="0" w:line="300" w:lineRule="auto"/>
        <w:ind w:leftChars="0"/>
        <w:rPr>
          <w:rFonts w:ascii="Times New Roman" w:eastAsia="新細明體" w:hAnsi="Times New Roman" w:cs="Times New Roman"/>
        </w:rPr>
      </w:pPr>
      <w:r w:rsidRPr="001B3284">
        <w:rPr>
          <w:rFonts w:ascii="Times New Roman" w:eastAsia="新細明體" w:hAnsi="Times New Roman"/>
          <w:noProof/>
        </w:rPr>
        <w:drawing>
          <wp:inline distT="0" distB="0" distL="0" distR="0" wp14:anchorId="638FD228" wp14:editId="6A89246C">
            <wp:extent cx="4096871" cy="2897306"/>
            <wp:effectExtent l="0" t="0" r="0" b="0"/>
            <wp:docPr id="37732464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561" cy="290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4CE96" w14:textId="0E08634C" w:rsidR="00885027" w:rsidRPr="001B3284" w:rsidRDefault="00885027" w:rsidP="00885027">
      <w:pPr>
        <w:pStyle w:val="a5"/>
        <w:numPr>
          <w:ilvl w:val="0"/>
          <w:numId w:val="1"/>
        </w:numPr>
        <w:snapToGrid w:val="0"/>
        <w:spacing w:beforeLines="50" w:before="180" w:after="0" w:line="300" w:lineRule="auto"/>
        <w:ind w:leftChars="0" w:left="482" w:hanging="34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>將</w:t>
      </w:r>
      <w:r w:rsidRPr="00885027">
        <w:rPr>
          <w:rFonts w:ascii="Times New Roman" w:eastAsia="新細明體" w:hAnsi="Times New Roman" w:cs="Times New Roman" w:hint="eastAsia"/>
        </w:rPr>
        <w:t>證書檔案</w:t>
      </w:r>
      <w:proofErr w:type="gramStart"/>
      <w:r w:rsidRPr="007075FB">
        <w:rPr>
          <w:rFonts w:ascii="Times New Roman" w:eastAsia="新細明體" w:hAnsi="Times New Roman" w:cs="Times New Roman" w:hint="eastAsia"/>
        </w:rPr>
        <w:t>寄</w:t>
      </w:r>
      <w:r w:rsidRPr="00885027">
        <w:rPr>
          <w:rFonts w:ascii="Times New Roman" w:eastAsia="新細明體" w:hAnsi="Times New Roman" w:cs="Times New Roman" w:hint="eastAsia"/>
        </w:rPr>
        <w:t>給生安會</w:t>
      </w:r>
      <w:proofErr w:type="gramEnd"/>
      <w:r w:rsidRPr="00885027">
        <w:rPr>
          <w:rFonts w:ascii="Times New Roman" w:eastAsia="新細明體" w:hAnsi="Times New Roman" w:cs="Times New Roman" w:hint="eastAsia"/>
        </w:rPr>
        <w:t>劉念宜小姐存查：</w:t>
      </w:r>
      <w:r w:rsidRPr="00885027">
        <w:rPr>
          <w:rFonts w:ascii="Times New Roman" w:eastAsia="新細明體" w:hAnsi="Times New Roman" w:cs="Times New Roman"/>
        </w:rPr>
        <w:t>nyliu0505@isu.edu.tw</w:t>
      </w:r>
      <w:r w:rsidRPr="00885027">
        <w:rPr>
          <w:rFonts w:ascii="Times New Roman" w:eastAsia="新細明體" w:hAnsi="Times New Roman" w:cs="Times New Roman" w:hint="eastAsia"/>
        </w:rPr>
        <w:t>。</w:t>
      </w:r>
    </w:p>
    <w:sectPr w:rsidR="00885027" w:rsidRPr="001B3284" w:rsidSect="00C16F2C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EB39" w14:textId="77777777" w:rsidR="003B4754" w:rsidRDefault="003B4754" w:rsidP="003B4754">
      <w:pPr>
        <w:spacing w:after="0" w:line="240" w:lineRule="auto"/>
      </w:pPr>
      <w:r>
        <w:separator/>
      </w:r>
    </w:p>
  </w:endnote>
  <w:endnote w:type="continuationSeparator" w:id="0">
    <w:p w14:paraId="46AD1ECA" w14:textId="77777777" w:rsidR="003B4754" w:rsidRDefault="003B4754" w:rsidP="003B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F2D7" w14:textId="77777777" w:rsidR="003B4754" w:rsidRDefault="003B4754" w:rsidP="003B4754">
      <w:pPr>
        <w:spacing w:after="0" w:line="240" w:lineRule="auto"/>
      </w:pPr>
      <w:r>
        <w:separator/>
      </w:r>
    </w:p>
  </w:footnote>
  <w:footnote w:type="continuationSeparator" w:id="0">
    <w:p w14:paraId="6CF0AF37" w14:textId="77777777" w:rsidR="003B4754" w:rsidRDefault="003B4754" w:rsidP="003B4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5E31"/>
    <w:multiLevelType w:val="hybridMultilevel"/>
    <w:tmpl w:val="8BE07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E409E9"/>
    <w:multiLevelType w:val="hybridMultilevel"/>
    <w:tmpl w:val="DF8A4894"/>
    <w:lvl w:ilvl="0" w:tplc="8662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5996305">
    <w:abstractNumId w:val="0"/>
  </w:num>
  <w:num w:numId="2" w16cid:durableId="183968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52"/>
    <w:rsid w:val="00030A40"/>
    <w:rsid w:val="00044076"/>
    <w:rsid w:val="00131EAC"/>
    <w:rsid w:val="001476E4"/>
    <w:rsid w:val="001B3284"/>
    <w:rsid w:val="002377E8"/>
    <w:rsid w:val="002C2D0E"/>
    <w:rsid w:val="00341659"/>
    <w:rsid w:val="00361252"/>
    <w:rsid w:val="00364837"/>
    <w:rsid w:val="003B11C2"/>
    <w:rsid w:val="003B4754"/>
    <w:rsid w:val="003B763A"/>
    <w:rsid w:val="003E3ECE"/>
    <w:rsid w:val="004268DE"/>
    <w:rsid w:val="004631CB"/>
    <w:rsid w:val="004A1FE0"/>
    <w:rsid w:val="004D60E3"/>
    <w:rsid w:val="00540DC0"/>
    <w:rsid w:val="005E4DBD"/>
    <w:rsid w:val="00655528"/>
    <w:rsid w:val="00694323"/>
    <w:rsid w:val="006F2F6A"/>
    <w:rsid w:val="007014C5"/>
    <w:rsid w:val="007369ED"/>
    <w:rsid w:val="00745A41"/>
    <w:rsid w:val="007470BD"/>
    <w:rsid w:val="00765927"/>
    <w:rsid w:val="00773FF1"/>
    <w:rsid w:val="007934F3"/>
    <w:rsid w:val="007E2C9F"/>
    <w:rsid w:val="007E615A"/>
    <w:rsid w:val="0080087D"/>
    <w:rsid w:val="00881777"/>
    <w:rsid w:val="00885027"/>
    <w:rsid w:val="00926B0A"/>
    <w:rsid w:val="009905B2"/>
    <w:rsid w:val="009E4C04"/>
    <w:rsid w:val="00A56338"/>
    <w:rsid w:val="00AD072B"/>
    <w:rsid w:val="00B36EBC"/>
    <w:rsid w:val="00B572EA"/>
    <w:rsid w:val="00BD00F7"/>
    <w:rsid w:val="00BD2F4C"/>
    <w:rsid w:val="00C16F2C"/>
    <w:rsid w:val="00C54D9D"/>
    <w:rsid w:val="00CC6F22"/>
    <w:rsid w:val="00CD4468"/>
    <w:rsid w:val="00D53CBC"/>
    <w:rsid w:val="00D605F5"/>
    <w:rsid w:val="00D70548"/>
    <w:rsid w:val="00DD40E6"/>
    <w:rsid w:val="00E81D29"/>
    <w:rsid w:val="00EA6AC9"/>
    <w:rsid w:val="00EE4E4F"/>
    <w:rsid w:val="00F447D9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B9A552"/>
  <w15:chartTrackingRefBased/>
  <w15:docId w15:val="{6986EAFE-2167-42B7-91DC-6C0AE2F2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252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125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D00F7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4631CB"/>
    <w:rPr>
      <w:color w:val="96607D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B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47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47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51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997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arn.hrd.gov.tw/info/10033509" TargetMode="External"/><Relationship Id="rId18" Type="http://schemas.openxmlformats.org/officeDocument/2006/relationships/hyperlink" Target="https://elearn.hrd.gov.tw/info/10033652" TargetMode="External"/><Relationship Id="rId26" Type="http://schemas.openxmlformats.org/officeDocument/2006/relationships/hyperlink" Target="https://elearn.hrd.gov.tw/info/10033474" TargetMode="External"/><Relationship Id="rId39" Type="http://schemas.openxmlformats.org/officeDocument/2006/relationships/hyperlink" Target="https://elearn.hrd.gov.tw/info/10033472" TargetMode="External"/><Relationship Id="rId21" Type="http://schemas.openxmlformats.org/officeDocument/2006/relationships/hyperlink" Target="https://elearn.hrd.gov.tw/info/10033654" TargetMode="External"/><Relationship Id="rId34" Type="http://schemas.openxmlformats.org/officeDocument/2006/relationships/hyperlink" Target="https://elearn.hrd.gov.tw/info/10033854" TargetMode="External"/><Relationship Id="rId42" Type="http://schemas.openxmlformats.org/officeDocument/2006/relationships/hyperlink" Target="https://elearn.hrd.gov.tw/info/10033458" TargetMode="External"/><Relationship Id="rId47" Type="http://schemas.openxmlformats.org/officeDocument/2006/relationships/hyperlink" Target="https://elearn.hrd.gov.tw/info/10033469" TargetMode="External"/><Relationship Id="rId50" Type="http://schemas.openxmlformats.org/officeDocument/2006/relationships/hyperlink" Target="https://elearn.hrd.gov.tw/info/10033721" TargetMode="External"/><Relationship Id="rId55" Type="http://schemas.openxmlformats.org/officeDocument/2006/relationships/hyperlink" Target="https://elearn.hrd.gov.tw/info/10033710" TargetMode="External"/><Relationship Id="rId7" Type="http://schemas.openxmlformats.org/officeDocument/2006/relationships/hyperlink" Target="https://elearn.hrd.gov.tw/mooc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.hrd.gov.tw/info/10033567" TargetMode="External"/><Relationship Id="rId29" Type="http://schemas.openxmlformats.org/officeDocument/2006/relationships/hyperlink" Target="https://elearn.hrd.gov.tw/info/10033467" TargetMode="External"/><Relationship Id="rId11" Type="http://schemas.openxmlformats.org/officeDocument/2006/relationships/hyperlink" Target="https://elearn.hrd.gov.tw/info/10033490" TargetMode="External"/><Relationship Id="rId24" Type="http://schemas.openxmlformats.org/officeDocument/2006/relationships/hyperlink" Target="https://elearn.hrd.gov.tw/info/10033468" TargetMode="External"/><Relationship Id="rId32" Type="http://schemas.openxmlformats.org/officeDocument/2006/relationships/hyperlink" Target="https://elearn.hrd.gov.tw/info/10033852" TargetMode="External"/><Relationship Id="rId37" Type="http://schemas.openxmlformats.org/officeDocument/2006/relationships/hyperlink" Target="https://elearn.hrd.gov.tw/info/10033462" TargetMode="External"/><Relationship Id="rId40" Type="http://schemas.openxmlformats.org/officeDocument/2006/relationships/hyperlink" Target="https://elearn.hrd.gov.tw/info/10033466" TargetMode="External"/><Relationship Id="rId45" Type="http://schemas.openxmlformats.org/officeDocument/2006/relationships/hyperlink" Target="https://elearn.hrd.gov.tw/info/10033459" TargetMode="External"/><Relationship Id="rId53" Type="http://schemas.openxmlformats.org/officeDocument/2006/relationships/hyperlink" Target="https://elearn.hrd.gov.tw/info/10033535" TargetMode="External"/><Relationship Id="rId58" Type="http://schemas.openxmlformats.org/officeDocument/2006/relationships/image" Target="media/image3.pn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elearn.hrd.gov.tw/info/10033653" TargetMode="External"/><Relationship Id="rId14" Type="http://schemas.openxmlformats.org/officeDocument/2006/relationships/hyperlink" Target="https://elearn.hrd.gov.tw/info/10033718" TargetMode="External"/><Relationship Id="rId22" Type="http://schemas.openxmlformats.org/officeDocument/2006/relationships/hyperlink" Target="https://elearn.hrd.gov.tw/info/10033722" TargetMode="External"/><Relationship Id="rId27" Type="http://schemas.openxmlformats.org/officeDocument/2006/relationships/hyperlink" Target="https://elearn.hrd.gov.tw/info/10033478" TargetMode="External"/><Relationship Id="rId30" Type="http://schemas.openxmlformats.org/officeDocument/2006/relationships/hyperlink" Target="https://elearn.hrd.gov.tw/info/10033461" TargetMode="External"/><Relationship Id="rId35" Type="http://schemas.openxmlformats.org/officeDocument/2006/relationships/hyperlink" Target="https://elearn.hrd.gov.tw/info/10033463" TargetMode="External"/><Relationship Id="rId43" Type="http://schemas.openxmlformats.org/officeDocument/2006/relationships/hyperlink" Target="https://elearn.hrd.gov.tw/info/10033470" TargetMode="External"/><Relationship Id="rId48" Type="http://schemas.openxmlformats.org/officeDocument/2006/relationships/hyperlink" Target="https://elearn.hrd.gov.tw/info/10033456" TargetMode="External"/><Relationship Id="rId56" Type="http://schemas.openxmlformats.org/officeDocument/2006/relationships/hyperlink" Target="https://elearn.hrd.gov.tw/info/10033657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learn.hrd.gov.tw/info/100334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earn.hrd.gov.tw/info/10033477" TargetMode="External"/><Relationship Id="rId17" Type="http://schemas.openxmlformats.org/officeDocument/2006/relationships/hyperlink" Target="https://elearn.hrd.gov.tw/info/10033568" TargetMode="External"/><Relationship Id="rId25" Type="http://schemas.openxmlformats.org/officeDocument/2006/relationships/hyperlink" Target="https://elearn.hrd.gov.tw/info/10033451" TargetMode="External"/><Relationship Id="rId33" Type="http://schemas.openxmlformats.org/officeDocument/2006/relationships/hyperlink" Target="https://elearn.hrd.gov.tw/info/10033853" TargetMode="External"/><Relationship Id="rId38" Type="http://schemas.openxmlformats.org/officeDocument/2006/relationships/hyperlink" Target="https://elearn.hrd.gov.tw/info/10033452" TargetMode="External"/><Relationship Id="rId46" Type="http://schemas.openxmlformats.org/officeDocument/2006/relationships/hyperlink" Target="https://elearn.hrd.gov.tw/info/10033471" TargetMode="External"/><Relationship Id="rId59" Type="http://schemas.openxmlformats.org/officeDocument/2006/relationships/image" Target="media/image4.png"/><Relationship Id="rId20" Type="http://schemas.openxmlformats.org/officeDocument/2006/relationships/hyperlink" Target="https://elearn.hrd.gov.tw/info/10033655" TargetMode="External"/><Relationship Id="rId41" Type="http://schemas.openxmlformats.org/officeDocument/2006/relationships/hyperlink" Target="https://elearn.hrd.gov.tw/info/10033460" TargetMode="External"/><Relationship Id="rId54" Type="http://schemas.openxmlformats.org/officeDocument/2006/relationships/hyperlink" Target="https://elearn.hrd.gov.tw/info/10033563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learn.hrd.gov.tw/info/10033719" TargetMode="External"/><Relationship Id="rId23" Type="http://schemas.openxmlformats.org/officeDocument/2006/relationships/hyperlink" Target="https://elearn.hrd.gov.tw/info/10033457" TargetMode="External"/><Relationship Id="rId28" Type="http://schemas.openxmlformats.org/officeDocument/2006/relationships/hyperlink" Target="https://elearn.hrd.gov.tw/info/10033506" TargetMode="External"/><Relationship Id="rId36" Type="http://schemas.openxmlformats.org/officeDocument/2006/relationships/hyperlink" Target="https://elearn.hrd.gov.tw/info/10033464" TargetMode="External"/><Relationship Id="rId49" Type="http://schemas.openxmlformats.org/officeDocument/2006/relationships/hyperlink" Target="https://elearn.hrd.gov.tw/info/10033720" TargetMode="External"/><Relationship Id="rId57" Type="http://schemas.openxmlformats.org/officeDocument/2006/relationships/hyperlink" Target="https://elearn.hrd.gov.tw/info/10033677" TargetMode="External"/><Relationship Id="rId10" Type="http://schemas.openxmlformats.org/officeDocument/2006/relationships/hyperlink" Target="https://elearn.hrd.gov.tw/info/10033453" TargetMode="External"/><Relationship Id="rId31" Type="http://schemas.openxmlformats.org/officeDocument/2006/relationships/hyperlink" Target="https://elearn.hrd.gov.tw/info/10033851" TargetMode="External"/><Relationship Id="rId44" Type="http://schemas.openxmlformats.org/officeDocument/2006/relationships/hyperlink" Target="https://elearn.hrd.gov.tw/info/10033454" TargetMode="External"/><Relationship Id="rId52" Type="http://schemas.openxmlformats.org/officeDocument/2006/relationships/hyperlink" Target="https://elearn.hrd.gov.tw/info/10033475" TargetMode="External"/><Relationship Id="rId6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1647</Words>
  <Characters>5048</Characters>
  <Application>Microsoft Office Word</Application>
  <DocSecurity>0</DocSecurity>
  <Lines>315</Lines>
  <Paragraphs>371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雲晶 張</dc:creator>
  <cp:keywords/>
  <dc:description/>
  <cp:lastModifiedBy>雲晶 張</cp:lastModifiedBy>
  <cp:revision>10</cp:revision>
  <dcterms:created xsi:type="dcterms:W3CDTF">2024-09-23T04:14:00Z</dcterms:created>
  <dcterms:modified xsi:type="dcterms:W3CDTF">2024-09-30T01:55:00Z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e36a0ba3-8030-4943-8ae1-9f46006345e4</vt:lpwstr>
  </property>
</Properties>
</file>